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83412" w14:textId="65CFE72E" w:rsidR="00226E30" w:rsidRPr="00F4224F" w:rsidRDefault="00403591" w:rsidP="000E1E5A">
      <w:pPr>
        <w:pStyle w:val="NoSpacing"/>
        <w:rPr>
          <w:rFonts w:cs="Arial"/>
          <w:sz w:val="22"/>
          <w:szCs w:val="22"/>
        </w:rPr>
      </w:pPr>
      <w:r w:rsidRPr="00F4224F">
        <w:rPr>
          <w:rFonts w:cs="Arial"/>
          <w:sz w:val="22"/>
          <w:szCs w:val="22"/>
        </w:rPr>
        <w:t xml:space="preserve">Government Affairs Update </w:t>
      </w:r>
      <w:r w:rsidR="0087107C" w:rsidRPr="00F4224F">
        <w:rPr>
          <w:rFonts w:cs="Arial"/>
          <w:sz w:val="22"/>
          <w:szCs w:val="22"/>
        </w:rPr>
        <w:t>October</w:t>
      </w:r>
      <w:r w:rsidRPr="00F4224F">
        <w:rPr>
          <w:rFonts w:cs="Arial"/>
          <w:sz w:val="22"/>
          <w:szCs w:val="22"/>
        </w:rPr>
        <w:t xml:space="preserve"> 2026</w:t>
      </w:r>
    </w:p>
    <w:p w14:paraId="45FB3938" w14:textId="25107798" w:rsidR="00403591" w:rsidRPr="00F4224F" w:rsidRDefault="00403591" w:rsidP="000E1E5A">
      <w:pPr>
        <w:pStyle w:val="NoSpacing"/>
        <w:rPr>
          <w:rFonts w:cs="Arial"/>
          <w:sz w:val="22"/>
          <w:szCs w:val="22"/>
        </w:rPr>
      </w:pPr>
      <w:r w:rsidRPr="00F4224F">
        <w:rPr>
          <w:rFonts w:cs="Arial"/>
          <w:sz w:val="22"/>
          <w:szCs w:val="22"/>
        </w:rPr>
        <w:t>From Kory Bakenhaster</w:t>
      </w:r>
    </w:p>
    <w:p w14:paraId="74451460" w14:textId="77777777" w:rsidR="000E1E5A" w:rsidRPr="00F4224F" w:rsidRDefault="000E1E5A" w:rsidP="000E1E5A">
      <w:pPr>
        <w:pStyle w:val="NoSpacing"/>
        <w:rPr>
          <w:rFonts w:cs="Arial"/>
          <w:sz w:val="22"/>
          <w:szCs w:val="22"/>
        </w:rPr>
      </w:pPr>
    </w:p>
    <w:p w14:paraId="3603CD44" w14:textId="30684BF2" w:rsidR="00502883" w:rsidRPr="00F4224F" w:rsidRDefault="00502883" w:rsidP="000E1E5A">
      <w:pPr>
        <w:pStyle w:val="NoSpacing"/>
        <w:rPr>
          <w:rFonts w:cs="Arial"/>
          <w:b/>
          <w:bCs/>
          <w:sz w:val="22"/>
          <w:szCs w:val="22"/>
          <w:u w:val="single"/>
        </w:rPr>
      </w:pPr>
      <w:r w:rsidRPr="00F4224F">
        <w:rPr>
          <w:rFonts w:cs="Arial"/>
          <w:b/>
          <w:bCs/>
          <w:sz w:val="22"/>
          <w:szCs w:val="22"/>
          <w:u w:val="single"/>
        </w:rPr>
        <w:t>OSHA</w:t>
      </w:r>
      <w:r w:rsidR="00B9206D" w:rsidRPr="00F4224F">
        <w:rPr>
          <w:rFonts w:cs="Arial"/>
          <w:b/>
          <w:bCs/>
          <w:sz w:val="22"/>
          <w:szCs w:val="22"/>
          <w:u w:val="single"/>
        </w:rPr>
        <w:t xml:space="preserve"> Update</w:t>
      </w:r>
    </w:p>
    <w:p w14:paraId="7A1220BB" w14:textId="3D37C418" w:rsidR="0087107C" w:rsidRPr="00F4224F" w:rsidRDefault="0087107C" w:rsidP="000E1E5A">
      <w:pPr>
        <w:pStyle w:val="NoSpacing"/>
        <w:rPr>
          <w:rFonts w:eastAsia="Times New Roman" w:cs="Arial"/>
          <w:kern w:val="0"/>
          <w:sz w:val="22"/>
          <w:szCs w:val="22"/>
          <w14:ligatures w14:val="none"/>
        </w:rPr>
      </w:pPr>
      <w:r w:rsidRPr="00F4224F">
        <w:rPr>
          <w:rFonts w:eastAsia="Times New Roman" w:cs="Arial"/>
          <w:kern w:val="0"/>
          <w:sz w:val="22"/>
          <w:szCs w:val="22"/>
          <w14:ligatures w14:val="none"/>
        </w:rPr>
        <w:t>OSHA, AIHA, ASSP, CSRA, and NSC will focus on the prevention of serious injuries and fatalities (SIF) in workplaces. The organizations will work together to share available research and provide employers, workers, trade and professional associations, labor organizations, and the public with information, guidance, and access to training resources for use in workplaces to reduce and eliminate SIFs through effective, evidence-based SIF identification and prevention principles and practices.</w:t>
      </w:r>
    </w:p>
    <w:p w14:paraId="184F09D0" w14:textId="16A19BA3" w:rsidR="00B9206D" w:rsidRPr="00F4224F" w:rsidRDefault="000E1E5A" w:rsidP="000E1E5A">
      <w:pPr>
        <w:pStyle w:val="NoSpacing"/>
        <w:rPr>
          <w:rFonts w:eastAsia="Times New Roman" w:cs="Arial"/>
          <w:kern w:val="0"/>
          <w:sz w:val="22"/>
          <w:szCs w:val="22"/>
          <w14:ligatures w14:val="none"/>
        </w:rPr>
      </w:pPr>
      <w:r w:rsidRPr="00F4224F">
        <w:rPr>
          <w:rFonts w:eastAsia="Times New Roman" w:cs="Arial"/>
          <w:kern w:val="0"/>
          <w:sz w:val="22"/>
          <w:szCs w:val="22"/>
          <w14:ligatures w14:val="none"/>
        </w:rPr>
        <w:t xml:space="preserve">Read more here: </w:t>
      </w:r>
      <w:hyperlink r:id="rId5" w:history="1">
        <w:r w:rsidR="0087107C" w:rsidRPr="00F4224F">
          <w:rPr>
            <w:color w:val="0000FF"/>
            <w:sz w:val="22"/>
            <w:szCs w:val="22"/>
            <w:u w:val="single"/>
          </w:rPr>
          <w:t>SIF Prevention Alliance | Occupational Safety and Health Administration</w:t>
        </w:r>
      </w:hyperlink>
    </w:p>
    <w:p w14:paraId="5676DD00" w14:textId="77777777" w:rsidR="000E1E5A" w:rsidRPr="00F4224F" w:rsidRDefault="000E1E5A" w:rsidP="000E1E5A">
      <w:pPr>
        <w:pStyle w:val="NoSpacing"/>
        <w:rPr>
          <w:rFonts w:eastAsia="Times New Roman" w:cs="Arial"/>
          <w:kern w:val="0"/>
          <w:sz w:val="22"/>
          <w:szCs w:val="22"/>
          <w14:ligatures w14:val="none"/>
        </w:rPr>
      </w:pPr>
    </w:p>
    <w:p w14:paraId="79EE583C" w14:textId="4FE39C4C" w:rsidR="00B9206D" w:rsidRPr="00F4224F" w:rsidRDefault="00B9206D" w:rsidP="000E1E5A">
      <w:pPr>
        <w:pStyle w:val="NoSpacing"/>
        <w:rPr>
          <w:rFonts w:eastAsia="Times New Roman" w:cs="Arial"/>
          <w:b/>
          <w:bCs/>
          <w:kern w:val="0"/>
          <w:sz w:val="22"/>
          <w:szCs w:val="22"/>
          <w:u w:val="single"/>
          <w14:ligatures w14:val="none"/>
        </w:rPr>
      </w:pPr>
      <w:r w:rsidRPr="00F4224F">
        <w:rPr>
          <w:rFonts w:eastAsia="Times New Roman" w:cs="Arial"/>
          <w:b/>
          <w:bCs/>
          <w:kern w:val="0"/>
          <w:sz w:val="22"/>
          <w:szCs w:val="22"/>
          <w:u w:val="single"/>
          <w14:ligatures w14:val="none"/>
        </w:rPr>
        <w:t>EPA Update</w:t>
      </w:r>
    </w:p>
    <w:p w14:paraId="547F7D4C" w14:textId="3B19CEE2" w:rsidR="0087107C" w:rsidRPr="00F4224F" w:rsidRDefault="0087107C" w:rsidP="0087107C">
      <w:pPr>
        <w:pStyle w:val="NoSpacing"/>
        <w:rPr>
          <w:rFonts w:eastAsia="Times New Roman" w:cs="Arial"/>
          <w:i/>
          <w:iCs/>
          <w:kern w:val="0"/>
          <w:sz w:val="22"/>
          <w:szCs w:val="22"/>
          <w14:ligatures w14:val="none"/>
        </w:rPr>
      </w:pPr>
      <w:r w:rsidRPr="00F4224F">
        <w:rPr>
          <w:rFonts w:eastAsia="Times New Roman" w:cs="Arial"/>
          <w:kern w:val="0"/>
          <w:sz w:val="22"/>
          <w:szCs w:val="22"/>
          <w14:ligatures w14:val="none"/>
        </w:rPr>
        <w:t xml:space="preserve">A Franklin County court ruled Ohio </w:t>
      </w:r>
      <w:proofErr w:type="gramStart"/>
      <w:r w:rsidRPr="00F4224F">
        <w:rPr>
          <w:rFonts w:eastAsia="Times New Roman" w:cs="Arial"/>
          <w:kern w:val="0"/>
          <w:sz w:val="22"/>
          <w:szCs w:val="22"/>
          <w14:ligatures w14:val="none"/>
        </w:rPr>
        <w:t>lawmakers</w:t>
      </w:r>
      <w:proofErr w:type="gramEnd"/>
      <w:r w:rsidRPr="00F4224F">
        <w:rPr>
          <w:rFonts w:eastAsia="Times New Roman" w:cs="Arial"/>
          <w:kern w:val="0"/>
          <w:sz w:val="22"/>
          <w:szCs w:val="22"/>
          <w14:ligatures w14:val="none"/>
        </w:rPr>
        <w:t xml:space="preserve"> acted illegally when they added a provision to last year’s state budget that would have taken away citizens’ right to sue polluters.</w:t>
      </w:r>
      <w:r w:rsidRPr="00F4224F">
        <w:rPr>
          <w:rFonts w:eastAsia="Times New Roman" w:cs="Arial"/>
          <w:kern w:val="0"/>
          <w:sz w:val="22"/>
          <w:szCs w:val="22"/>
          <w14:ligatures w14:val="none"/>
        </w:rPr>
        <w:t xml:space="preserve"> </w:t>
      </w:r>
      <w:r w:rsidRPr="00F4224F">
        <w:rPr>
          <w:rFonts w:eastAsia="Times New Roman" w:cs="Arial"/>
          <w:kern w:val="0"/>
          <w:sz w:val="22"/>
          <w:szCs w:val="22"/>
          <w14:ligatures w14:val="none"/>
        </w:rPr>
        <w:t>The Oct. 14 ruling by Common Pleas Judge Julie Lynch preserves the state’s Air Nuisance Rule, a 50-year-old provision that allows communities and citizens to sue polluters for violating the federal Clean Air Act.</w:t>
      </w:r>
    </w:p>
    <w:p w14:paraId="0F95BE54" w14:textId="39C3916E" w:rsidR="00B9206D" w:rsidRPr="00F4224F" w:rsidRDefault="000E1E5A" w:rsidP="0087107C">
      <w:pPr>
        <w:pStyle w:val="NoSpacing"/>
        <w:rPr>
          <w:sz w:val="22"/>
          <w:szCs w:val="22"/>
        </w:rPr>
      </w:pPr>
      <w:r w:rsidRPr="00F4224F">
        <w:rPr>
          <w:rFonts w:cs="Arial"/>
          <w:sz w:val="22"/>
          <w:szCs w:val="22"/>
        </w:rPr>
        <w:t>Read More Here</w:t>
      </w:r>
      <w:r w:rsidRPr="00F4224F">
        <w:rPr>
          <w:rFonts w:eastAsia="Times New Roman" w:cs="Arial"/>
          <w:kern w:val="0"/>
          <w:sz w:val="22"/>
          <w:szCs w:val="22"/>
          <w14:ligatures w14:val="none"/>
        </w:rPr>
        <w:t>:</w:t>
      </w:r>
      <w:r w:rsidRPr="00F4224F">
        <w:rPr>
          <w:rFonts w:cs="Arial"/>
          <w:sz w:val="22"/>
          <w:szCs w:val="22"/>
        </w:rPr>
        <w:t xml:space="preserve"> </w:t>
      </w:r>
      <w:hyperlink r:id="rId6" w:history="1">
        <w:r w:rsidR="0087107C" w:rsidRPr="00F4224F">
          <w:rPr>
            <w:rStyle w:val="Hyperlink"/>
            <w:sz w:val="22"/>
            <w:szCs w:val="22"/>
          </w:rPr>
          <w:t>https://ohiocapitaljournal.com/2026/10/21/catching-our-eye-news-roundup-oct-21-2026/</w:t>
        </w:r>
      </w:hyperlink>
      <w:r w:rsidR="0087107C" w:rsidRPr="00F4224F">
        <w:rPr>
          <w:sz w:val="22"/>
          <w:szCs w:val="22"/>
        </w:rPr>
        <w:t xml:space="preserve"> </w:t>
      </w:r>
    </w:p>
    <w:p w14:paraId="462EE3A4" w14:textId="331339AC" w:rsidR="00F4224F" w:rsidRPr="00F4224F" w:rsidRDefault="00F4224F" w:rsidP="0087107C">
      <w:pPr>
        <w:pStyle w:val="NoSpacing"/>
        <w:rPr>
          <w:sz w:val="22"/>
          <w:szCs w:val="22"/>
        </w:rPr>
      </w:pPr>
      <w:hyperlink r:id="rId7" w:history="1">
        <w:r w:rsidRPr="00F4224F">
          <w:rPr>
            <w:rStyle w:val="Hyperlink"/>
            <w:sz w:val="22"/>
            <w:szCs w:val="22"/>
          </w:rPr>
          <w:t>https://www.federalregister.gov/documents/2026/05/28/2026-10643/air-plan-approval-ohio-removal-of-air-nuisance-rule</w:t>
        </w:r>
      </w:hyperlink>
      <w:r w:rsidRPr="00F4224F">
        <w:rPr>
          <w:sz w:val="22"/>
          <w:szCs w:val="22"/>
        </w:rPr>
        <w:t xml:space="preserve"> </w:t>
      </w:r>
    </w:p>
    <w:p w14:paraId="604D7B9E" w14:textId="77777777" w:rsidR="000E1E5A" w:rsidRPr="00F4224F" w:rsidRDefault="000E1E5A" w:rsidP="000E1E5A">
      <w:pPr>
        <w:pStyle w:val="NoSpacing"/>
        <w:rPr>
          <w:rFonts w:cs="Arial"/>
          <w:sz w:val="22"/>
          <w:szCs w:val="22"/>
        </w:rPr>
      </w:pPr>
    </w:p>
    <w:p w14:paraId="2DFF2342" w14:textId="786D2E4A" w:rsidR="00B9206D" w:rsidRPr="00F4224F" w:rsidRDefault="00B9206D" w:rsidP="000E1E5A">
      <w:pPr>
        <w:pStyle w:val="NoSpacing"/>
        <w:rPr>
          <w:rFonts w:cs="Arial"/>
          <w:b/>
          <w:bCs/>
          <w:sz w:val="22"/>
          <w:szCs w:val="22"/>
          <w:u w:val="single"/>
        </w:rPr>
      </w:pPr>
      <w:r w:rsidRPr="00F4224F">
        <w:rPr>
          <w:rFonts w:cs="Arial"/>
          <w:b/>
          <w:bCs/>
          <w:sz w:val="22"/>
          <w:szCs w:val="22"/>
          <w:u w:val="single"/>
        </w:rPr>
        <w:t>Ohio BWC Update</w:t>
      </w:r>
    </w:p>
    <w:p w14:paraId="1EA10360" w14:textId="77777777" w:rsidR="00F4224F" w:rsidRPr="00F4224F" w:rsidRDefault="00F4224F" w:rsidP="000E1E5A">
      <w:pPr>
        <w:pStyle w:val="NoSpacing"/>
        <w:rPr>
          <w:rFonts w:cs="Arial"/>
          <w:sz w:val="22"/>
          <w:szCs w:val="22"/>
        </w:rPr>
      </w:pPr>
      <w:r w:rsidRPr="00F4224F">
        <w:rPr>
          <w:rFonts w:cs="Arial"/>
          <w:sz w:val="22"/>
          <w:szCs w:val="22"/>
        </w:rPr>
        <w:t>The Ohio Bureau of Workers’ Compensation (BWC) has announced $29 million in available funding through the Workforce Safety Innovation Center® (WSIC). The fifth round of the Workforce Safety Innovation Grant will invest in the research and development of cutting-edge personal protective equipment (PPE) and personal protective technology (PPT) designed to enhance workplace safety and advance occupational injury and illness prevention.</w:t>
      </w:r>
      <w:r w:rsidRPr="00F4224F">
        <w:rPr>
          <w:rFonts w:cs="Arial"/>
          <w:sz w:val="22"/>
          <w:szCs w:val="22"/>
        </w:rPr>
        <w:t xml:space="preserve"> </w:t>
      </w:r>
    </w:p>
    <w:p w14:paraId="5EBB4194" w14:textId="0D8FF64A" w:rsidR="000E1E5A" w:rsidRPr="00F4224F" w:rsidRDefault="000E1E5A" w:rsidP="000E1E5A">
      <w:pPr>
        <w:pStyle w:val="NoSpacing"/>
        <w:rPr>
          <w:sz w:val="22"/>
          <w:szCs w:val="22"/>
        </w:rPr>
      </w:pPr>
      <w:r w:rsidRPr="00F4224F">
        <w:rPr>
          <w:rFonts w:cs="Arial"/>
          <w:sz w:val="22"/>
          <w:szCs w:val="22"/>
        </w:rPr>
        <w:t xml:space="preserve">Read More Here: </w:t>
      </w:r>
      <w:hyperlink r:id="rId8" w:history="1">
        <w:r w:rsidR="00F4224F" w:rsidRPr="00F4224F">
          <w:rPr>
            <w:color w:val="0000FF"/>
            <w:sz w:val="22"/>
            <w:szCs w:val="22"/>
            <w:u w:val="single"/>
          </w:rPr>
          <w:t>BWC announces fifth round of Workforce Safety Innovation Grant | Ohio Bureau of Workers' Compensation</w:t>
        </w:r>
      </w:hyperlink>
    </w:p>
    <w:p w14:paraId="0E96AAD3" w14:textId="77777777" w:rsidR="00F4224F" w:rsidRPr="00F4224F" w:rsidRDefault="00F4224F" w:rsidP="000E1E5A">
      <w:pPr>
        <w:pStyle w:val="NoSpacing"/>
        <w:rPr>
          <w:rFonts w:cs="Arial"/>
          <w:sz w:val="22"/>
          <w:szCs w:val="22"/>
        </w:rPr>
      </w:pPr>
    </w:p>
    <w:p w14:paraId="42A914CB" w14:textId="563F1A68" w:rsidR="00B9206D" w:rsidRPr="00F4224F" w:rsidRDefault="000E1E5A" w:rsidP="000E1E5A">
      <w:pPr>
        <w:pStyle w:val="NoSpacing"/>
        <w:rPr>
          <w:rFonts w:cs="Arial"/>
          <w:b/>
          <w:bCs/>
          <w:sz w:val="22"/>
          <w:szCs w:val="22"/>
          <w:u w:val="single"/>
        </w:rPr>
      </w:pPr>
      <w:r w:rsidRPr="00F4224F">
        <w:rPr>
          <w:rFonts w:cs="Arial"/>
          <w:b/>
          <w:bCs/>
          <w:sz w:val="22"/>
          <w:szCs w:val="22"/>
          <w:u w:val="single"/>
        </w:rPr>
        <w:t>NFPA Update</w:t>
      </w:r>
    </w:p>
    <w:p w14:paraId="6F09C3C1" w14:textId="77777777" w:rsidR="00F4224F" w:rsidRPr="00F4224F" w:rsidRDefault="00F4224F" w:rsidP="000E1E5A">
      <w:pPr>
        <w:pStyle w:val="NoSpacing"/>
        <w:rPr>
          <w:rFonts w:cs="Arial"/>
          <w:sz w:val="22"/>
          <w:szCs w:val="22"/>
        </w:rPr>
      </w:pPr>
      <w:r w:rsidRPr="00F4224F">
        <w:rPr>
          <w:rFonts w:cs="Arial"/>
          <w:sz w:val="22"/>
          <w:szCs w:val="22"/>
        </w:rPr>
        <w:t>Fire Prevention Week, Oct. 4-10, focuses on lithium-ion battery charging safety</w:t>
      </w:r>
    </w:p>
    <w:p w14:paraId="0879294D" w14:textId="64FA1CF8" w:rsidR="000E1E5A" w:rsidRPr="00F4224F" w:rsidRDefault="000E1E5A" w:rsidP="000E1E5A">
      <w:pPr>
        <w:pStyle w:val="NoSpacing"/>
        <w:rPr>
          <w:rFonts w:cs="Arial"/>
          <w:sz w:val="22"/>
          <w:szCs w:val="22"/>
        </w:rPr>
      </w:pPr>
      <w:r w:rsidRPr="00F4224F">
        <w:rPr>
          <w:rFonts w:cs="Arial"/>
          <w:sz w:val="22"/>
          <w:szCs w:val="22"/>
        </w:rPr>
        <w:t xml:space="preserve">Read More Here: </w:t>
      </w:r>
      <w:hyperlink r:id="rId9" w:history="1">
        <w:r w:rsidR="00F4224F" w:rsidRPr="00F4224F">
          <w:rPr>
            <w:color w:val="0000FF"/>
            <w:sz w:val="22"/>
            <w:szCs w:val="22"/>
            <w:u w:val="single"/>
          </w:rPr>
          <w:t>Fire Prevention Week, Oct. 4-10, focuses on lithium-ion battery charging safety</w:t>
        </w:r>
      </w:hyperlink>
    </w:p>
    <w:p w14:paraId="49D9353F" w14:textId="77777777" w:rsidR="000E1E5A" w:rsidRPr="00F4224F" w:rsidRDefault="000E1E5A" w:rsidP="000E1E5A">
      <w:pPr>
        <w:pStyle w:val="NoSpacing"/>
        <w:rPr>
          <w:rFonts w:cs="Arial"/>
          <w:sz w:val="22"/>
          <w:szCs w:val="22"/>
        </w:rPr>
      </w:pPr>
    </w:p>
    <w:p w14:paraId="503E3874" w14:textId="1EAA4432" w:rsidR="00B9206D" w:rsidRPr="00F4224F" w:rsidRDefault="000E1E5A" w:rsidP="000E1E5A">
      <w:pPr>
        <w:pStyle w:val="NoSpacing"/>
        <w:rPr>
          <w:rFonts w:cs="Arial"/>
          <w:b/>
          <w:bCs/>
          <w:sz w:val="22"/>
          <w:szCs w:val="22"/>
          <w:u w:val="single"/>
        </w:rPr>
      </w:pPr>
      <w:r w:rsidRPr="00F4224F">
        <w:rPr>
          <w:rFonts w:cs="Arial"/>
          <w:b/>
          <w:bCs/>
          <w:sz w:val="22"/>
          <w:szCs w:val="22"/>
          <w:u w:val="single"/>
        </w:rPr>
        <w:t>NIOSH Update</w:t>
      </w:r>
    </w:p>
    <w:p w14:paraId="482B247F" w14:textId="77777777" w:rsidR="00F4224F" w:rsidRPr="00F4224F" w:rsidRDefault="00F4224F" w:rsidP="00F4224F">
      <w:pPr>
        <w:pStyle w:val="NoSpacing"/>
        <w:rPr>
          <w:i/>
          <w:iCs/>
          <w:sz w:val="22"/>
          <w:szCs w:val="22"/>
        </w:rPr>
      </w:pPr>
      <w:r w:rsidRPr="00F4224F">
        <w:rPr>
          <w:sz w:val="22"/>
          <w:szCs w:val="22"/>
        </w:rPr>
        <w:t>The National Institute for Occupational Safety and Health (NIOSH) and its partners presented the 2026 Prevention through Design (</w:t>
      </w:r>
      <w:proofErr w:type="spellStart"/>
      <w:r w:rsidRPr="00F4224F">
        <w:rPr>
          <w:sz w:val="22"/>
          <w:szCs w:val="22"/>
        </w:rPr>
        <w:t>PtD</w:t>
      </w:r>
      <w:proofErr w:type="spellEnd"/>
      <w:r w:rsidRPr="00F4224F">
        <w:rPr>
          <w:sz w:val="22"/>
          <w:szCs w:val="22"/>
        </w:rPr>
        <w:t xml:space="preserve">) Award to Square Robot, Inc. today at the sixth annual </w:t>
      </w:r>
      <w:proofErr w:type="spellStart"/>
      <w:r w:rsidRPr="00F4224F">
        <w:rPr>
          <w:sz w:val="22"/>
          <w:szCs w:val="22"/>
        </w:rPr>
        <w:t>PtD</w:t>
      </w:r>
      <w:proofErr w:type="spellEnd"/>
      <w:r w:rsidRPr="00F4224F">
        <w:rPr>
          <w:sz w:val="22"/>
          <w:szCs w:val="22"/>
        </w:rPr>
        <w:t xml:space="preserve"> Award Ceremony during the National Safety Council Safety Congress and Expo in Indianapolis</w:t>
      </w:r>
      <w:r w:rsidRPr="00F4224F">
        <w:rPr>
          <w:i/>
          <w:iCs/>
          <w:sz w:val="22"/>
          <w:szCs w:val="22"/>
        </w:rPr>
        <w:t>.</w:t>
      </w:r>
    </w:p>
    <w:p w14:paraId="0369D22C" w14:textId="57D60282" w:rsidR="000E1E5A" w:rsidRPr="00F4224F" w:rsidRDefault="000E1E5A" w:rsidP="00F4224F">
      <w:pPr>
        <w:pStyle w:val="NoSpacing"/>
        <w:rPr>
          <w:i/>
          <w:iCs/>
          <w:sz w:val="22"/>
          <w:szCs w:val="22"/>
        </w:rPr>
      </w:pPr>
      <w:r w:rsidRPr="00F4224F">
        <w:rPr>
          <w:sz w:val="22"/>
          <w:szCs w:val="22"/>
        </w:rPr>
        <w:t xml:space="preserve">Read More Here: </w:t>
      </w:r>
      <w:hyperlink r:id="rId10" w:history="1">
        <w:r w:rsidR="00F4224F" w:rsidRPr="00F4224F">
          <w:rPr>
            <w:color w:val="0000FF"/>
            <w:sz w:val="22"/>
            <w:szCs w:val="22"/>
            <w:u w:val="single"/>
          </w:rPr>
          <w:t>NIOSH and Partners Announce 2026 Prevention through Design Award Winner | Newsroom | CDC</w:t>
        </w:r>
      </w:hyperlink>
    </w:p>
    <w:sectPr w:rsidR="000E1E5A" w:rsidRPr="00F422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F682B"/>
    <w:multiLevelType w:val="multilevel"/>
    <w:tmpl w:val="1222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00962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591"/>
    <w:rsid w:val="000E1E5A"/>
    <w:rsid w:val="00226E30"/>
    <w:rsid w:val="002764D9"/>
    <w:rsid w:val="00403591"/>
    <w:rsid w:val="00440DA7"/>
    <w:rsid w:val="00502883"/>
    <w:rsid w:val="00561092"/>
    <w:rsid w:val="007B24B2"/>
    <w:rsid w:val="0087107C"/>
    <w:rsid w:val="00891CB5"/>
    <w:rsid w:val="008D6014"/>
    <w:rsid w:val="00B9206D"/>
    <w:rsid w:val="00F42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31C99"/>
  <w15:chartTrackingRefBased/>
  <w15:docId w15:val="{BD7FEEAE-7A5D-4C77-AED1-065D1375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5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591"/>
    <w:rPr>
      <w:rFonts w:eastAsiaTheme="majorEastAsia" w:cstheme="majorBidi"/>
      <w:color w:val="272727" w:themeColor="text1" w:themeTint="D8"/>
    </w:rPr>
  </w:style>
  <w:style w:type="paragraph" w:styleId="Title">
    <w:name w:val="Title"/>
    <w:basedOn w:val="Normal"/>
    <w:next w:val="Normal"/>
    <w:link w:val="TitleChar"/>
    <w:uiPriority w:val="10"/>
    <w:qFormat/>
    <w:rsid w:val="00403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5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591"/>
    <w:pPr>
      <w:spacing w:before="160"/>
      <w:jc w:val="center"/>
    </w:pPr>
    <w:rPr>
      <w:i/>
      <w:iCs/>
      <w:color w:val="404040" w:themeColor="text1" w:themeTint="BF"/>
    </w:rPr>
  </w:style>
  <w:style w:type="character" w:customStyle="1" w:styleId="QuoteChar">
    <w:name w:val="Quote Char"/>
    <w:basedOn w:val="DefaultParagraphFont"/>
    <w:link w:val="Quote"/>
    <w:uiPriority w:val="29"/>
    <w:rsid w:val="00403591"/>
    <w:rPr>
      <w:i/>
      <w:iCs/>
      <w:color w:val="404040" w:themeColor="text1" w:themeTint="BF"/>
    </w:rPr>
  </w:style>
  <w:style w:type="paragraph" w:styleId="ListParagraph">
    <w:name w:val="List Paragraph"/>
    <w:basedOn w:val="Normal"/>
    <w:uiPriority w:val="34"/>
    <w:qFormat/>
    <w:rsid w:val="00403591"/>
    <w:pPr>
      <w:ind w:left="720"/>
      <w:contextualSpacing/>
    </w:pPr>
  </w:style>
  <w:style w:type="character" w:styleId="IntenseEmphasis">
    <w:name w:val="Intense Emphasis"/>
    <w:basedOn w:val="DefaultParagraphFont"/>
    <w:uiPriority w:val="21"/>
    <w:qFormat/>
    <w:rsid w:val="00403591"/>
    <w:rPr>
      <w:i/>
      <w:iCs/>
      <w:color w:val="0F4761" w:themeColor="accent1" w:themeShade="BF"/>
    </w:rPr>
  </w:style>
  <w:style w:type="paragraph" w:styleId="IntenseQuote">
    <w:name w:val="Intense Quote"/>
    <w:basedOn w:val="Normal"/>
    <w:next w:val="Normal"/>
    <w:link w:val="IntenseQuoteChar"/>
    <w:uiPriority w:val="30"/>
    <w:qFormat/>
    <w:rsid w:val="00403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591"/>
    <w:rPr>
      <w:i/>
      <w:iCs/>
      <w:color w:val="0F4761" w:themeColor="accent1" w:themeShade="BF"/>
    </w:rPr>
  </w:style>
  <w:style w:type="character" w:styleId="IntenseReference">
    <w:name w:val="Intense Reference"/>
    <w:basedOn w:val="DefaultParagraphFont"/>
    <w:uiPriority w:val="32"/>
    <w:qFormat/>
    <w:rsid w:val="00403591"/>
    <w:rPr>
      <w:b/>
      <w:bCs/>
      <w:smallCaps/>
      <w:color w:val="0F4761" w:themeColor="accent1" w:themeShade="BF"/>
      <w:spacing w:val="5"/>
    </w:rPr>
  </w:style>
  <w:style w:type="character" w:styleId="Hyperlink">
    <w:name w:val="Hyperlink"/>
    <w:basedOn w:val="DefaultParagraphFont"/>
    <w:uiPriority w:val="99"/>
    <w:unhideWhenUsed/>
    <w:rsid w:val="00502883"/>
    <w:rPr>
      <w:color w:val="0000FF"/>
      <w:u w:val="single"/>
    </w:rPr>
  </w:style>
  <w:style w:type="paragraph" w:styleId="NormalWeb">
    <w:name w:val="Normal (Web)"/>
    <w:basedOn w:val="Normal"/>
    <w:uiPriority w:val="99"/>
    <w:unhideWhenUsed/>
    <w:rsid w:val="007B24B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B9206D"/>
    <w:rPr>
      <w:color w:val="605E5C"/>
      <w:shd w:val="clear" w:color="auto" w:fill="E1DFDD"/>
    </w:rPr>
  </w:style>
  <w:style w:type="paragraph" w:customStyle="1" w:styleId="oh-rich-textparagraph">
    <w:name w:val="oh-rich-text__paragraph"/>
    <w:basedOn w:val="Normal"/>
    <w:rsid w:val="00B9206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0E1E5A"/>
    <w:rPr>
      <w:color w:val="96607D" w:themeColor="followedHyperlink"/>
      <w:u w:val="single"/>
    </w:rPr>
  </w:style>
  <w:style w:type="paragraph" w:styleId="NoSpacing">
    <w:name w:val="No Spacing"/>
    <w:uiPriority w:val="1"/>
    <w:qFormat/>
    <w:rsid w:val="000E1E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bwc.ohio.gov/news-and-events/news/bwc-announces-fifth-round-of-workforce-safety-innovation-grant" TargetMode="External"/><Relationship Id="rId3" Type="http://schemas.openxmlformats.org/officeDocument/2006/relationships/settings" Target="settings.xml"/><Relationship Id="rId7" Type="http://schemas.openxmlformats.org/officeDocument/2006/relationships/hyperlink" Target="https://www.federalregister.gov/documents/2026/05/28/2026-10643/air-plan-approval-ohio-removal-of-air-nuisance-rul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iocapitaljournal.com/2026/10/21/catching-our-eye-news-roundup-oct-21-2026/" TargetMode="External"/><Relationship Id="rId11" Type="http://schemas.openxmlformats.org/officeDocument/2006/relationships/fontTable" Target="fontTable.xml"/><Relationship Id="rId5" Type="http://schemas.openxmlformats.org/officeDocument/2006/relationships/hyperlink" Target="https://www.osha.gov/alliances/sif/sif" TargetMode="External"/><Relationship Id="rId10" Type="http://schemas.openxmlformats.org/officeDocument/2006/relationships/hyperlink" Target="https://www.cdc.gov/niosh/newsroom/updates/upd-09-15-26.html" TargetMode="External"/><Relationship Id="rId4" Type="http://schemas.openxmlformats.org/officeDocument/2006/relationships/webSettings" Target="webSettings.xml"/><Relationship Id="rId9" Type="http://schemas.openxmlformats.org/officeDocument/2006/relationships/hyperlink" Target="https://www.nfpa.org/en/about-nfpa/press-room/news-releases/2026/fire-prevention-week-oct-4-10-focuses-on-lithium-ion-battery-charging-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Bakenhaster, Kory</dc:creator>
  <cp:keywords/>
  <dc:description/>
  <cp:lastModifiedBy>Bakenhaster, Kory</cp:lastModifiedBy>
  <cp:revision>4</cp:revision>
  <dcterms:created xsi:type="dcterms:W3CDTF">2026-10-21T12:00:00Z</dcterms:created>
  <dcterms:modified xsi:type="dcterms:W3CDTF">2026-10-21T12:25:00Z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db966800-00d0-4011-86ff-1e039617858b</vt:lpwstr>
  </property>
</Properties>
</file>